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C0B" w:rsidRPr="004A5D63" w:rsidRDefault="007A1C0B" w:rsidP="007A1C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5FCA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4A5D63">
        <w:rPr>
          <w:rFonts w:ascii="Times New Roman" w:hAnsi="Times New Roman" w:cs="Times New Roman"/>
          <w:b/>
          <w:sz w:val="28"/>
          <w:szCs w:val="28"/>
        </w:rPr>
        <w:t>Электрические станции и подстанции</w:t>
      </w:r>
    </w:p>
    <w:p w:rsidR="0063594E" w:rsidRPr="004A5D63" w:rsidRDefault="007A1C0B" w:rsidP="004A5D63">
      <w:pPr>
        <w:shd w:val="clear" w:color="auto" w:fill="FFFFFF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Лекция</w:t>
      </w:r>
      <w:r w:rsid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</w:t>
      </w:r>
      <w:r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63594E"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СИНХРОННЫЕ ГЕНЕРАТОРЫ.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2103634446"/>
      </w:sdtPr>
      <w:sdtContent>
        <w:p w:rsidR="00FB44CF" w:rsidRPr="00FB44CF" w:rsidRDefault="00FB44CF" w:rsidP="00FB44CF">
          <w:pPr>
            <w:pStyle w:val="a9"/>
            <w:spacing w:before="0" w:line="240" w:lineRule="auto"/>
            <w:jc w:val="center"/>
            <w:rPr>
              <w:rFonts w:ascii="Times New Roman" w:hAnsi="Times New Roman" w:cs="Times New Roman"/>
            </w:rPr>
          </w:pPr>
          <w:r w:rsidRPr="00FB44CF">
            <w:rPr>
              <w:rFonts w:ascii="Times New Roman" w:hAnsi="Times New Roman" w:cs="Times New Roman"/>
            </w:rPr>
            <w:t>Оглавление</w:t>
          </w:r>
        </w:p>
        <w:p w:rsidR="00FB44CF" w:rsidRPr="00FB44CF" w:rsidRDefault="00FE1EA7" w:rsidP="00FB44CF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FE1EA7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FB44CF" w:rsidRPr="00FB44CF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E1EA7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427338685" w:history="1">
            <w:r w:rsidR="00FB44CF" w:rsidRPr="00FB44CF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6.1 Устройство системы возбуждения и предъявляемые к ней требования.</w:t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_Toc427338685 \h </w:instrTex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FB44CF" w:rsidRPr="00FB44CF" w:rsidRDefault="00FE1EA7" w:rsidP="00FB44CF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38686" w:history="1">
            <w:r w:rsidR="00FB44CF" w:rsidRPr="00FB44CF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6.2 Классификация систем возбуждения.</w:t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_Toc427338686 \h </w:instrTex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FB44CF" w:rsidRPr="00FB44CF" w:rsidRDefault="00FE1EA7" w:rsidP="00FB44CF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38687" w:history="1">
            <w:r w:rsidR="00FB44CF" w:rsidRPr="00FB44CF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6.3 Системы охлаждения генераторов</w:t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_Toc427338687 \h </w:instrTex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FB44CF" w:rsidRPr="00FB44CF" w:rsidRDefault="00FE1EA7" w:rsidP="00FB44CF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38688" w:history="1">
            <w:r w:rsidR="00FB44CF" w:rsidRPr="00FB44CF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6.4 Включение синхронных генераторов на параллельную работу</w:t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_Toc427338688 \h </w:instrTex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B44CF"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FB44C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3594E" w:rsidRPr="0063594E" w:rsidRDefault="00FE1EA7" w:rsidP="00FB44CF">
          <w:pPr>
            <w:spacing w:after="0" w:line="240" w:lineRule="auto"/>
          </w:pPr>
          <w:r w:rsidRPr="00FB44CF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63594E" w:rsidRPr="0063594E" w:rsidRDefault="00FB44CF" w:rsidP="00FB44CF">
      <w:pPr>
        <w:pStyle w:val="1"/>
        <w:spacing w:before="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0" w:name="_Toc427338685"/>
      <w:r>
        <w:rPr>
          <w:rFonts w:ascii="Times New Roman" w:eastAsia="Times New Roman" w:hAnsi="Times New Roman" w:cs="Times New Roman"/>
          <w:lang w:eastAsia="ru-RU"/>
        </w:rPr>
        <w:tab/>
      </w:r>
      <w:r w:rsidR="004A5D63">
        <w:rPr>
          <w:rFonts w:ascii="Times New Roman" w:eastAsia="Times New Roman" w:hAnsi="Times New Roman" w:cs="Times New Roman"/>
          <w:lang w:eastAsia="ru-RU"/>
        </w:rPr>
        <w:t xml:space="preserve">6.1 </w:t>
      </w:r>
      <w:r w:rsidR="0063594E" w:rsidRPr="0063594E">
        <w:rPr>
          <w:rFonts w:ascii="Times New Roman" w:eastAsia="Times New Roman" w:hAnsi="Times New Roman" w:cs="Times New Roman"/>
          <w:lang w:eastAsia="ru-RU"/>
        </w:rPr>
        <w:t>Устройство системы возбуждения и предъявляемые к ней требования</w:t>
      </w:r>
      <w:bookmarkEnd w:id="0"/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Для питания обмотки возбуждения синхронного генератора необ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ходим источник постоянного тока — возбудитель. Наиболее часто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 качестве возбудителя используется электромашинный генератор постоянного тока, якорь которого механически </w:t>
      </w:r>
      <w:r w:rsidR="00F716B9"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сопря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жён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валом синхронной машины.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6B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3100" cy="1016000"/>
            <wp:effectExtent l="0" t="0" r="6350" b="0"/>
            <wp:docPr id="4" name="Рисунок 4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ba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08" w:firstLine="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6.1. Схема электромашинной системы возбуждения синхронного генератора</w:t>
      </w:r>
    </w:p>
    <w:p w:rsidR="0063594E" w:rsidRPr="0063594E" w:rsidRDefault="0063594E" w:rsidP="0063594E">
      <w:pPr>
        <w:shd w:val="clear" w:color="auto" w:fill="FFFFFF"/>
        <w:spacing w:before="5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 —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ротор машины;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возбудитель (генератор постоянного тока с параллельно-независимым возбуждением);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ПВ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подвозбудитель, генератор постоянного тока с неза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висимым возбуждением; 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РР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РР'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— регулировочные резисторы; К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 К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vertAlign w:val="subscript"/>
          <w:lang w:eastAsia="ru-RU"/>
        </w:rPr>
        <w:t>1ф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— контакторы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форсировки возбуждения;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’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резисторы, закорачиваемые при форсировке;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K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и К</w:t>
      </w:r>
      <w:r w:rsidRPr="0063594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контакты автомата гашения поля (АГП);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г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— гасительный резистор.</w:t>
      </w:r>
    </w:p>
    <w:p w:rsidR="0063594E" w:rsidRPr="0063594E" w:rsidRDefault="0063594E" w:rsidP="00635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94E" w:rsidRPr="0063594E" w:rsidRDefault="0063594E" w:rsidP="0063594E">
      <w:pPr>
        <w:shd w:val="clear" w:color="auto" w:fill="FFFFFF"/>
        <w:spacing w:after="0" w:line="240" w:lineRule="auto"/>
        <w:ind w:righ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Схемы возбуждения с генератором постоянного тока показаны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на рис. 6.1, 6.2, 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а.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Кроме самого возбудителя, система включает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подвозбудитель, питающий независимую обмотку возбуждения глав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ного возбудителя, регулировочные реостаты, контакторы, аппара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туру дистанционного управления, автоматические регуляторы на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пряжения и другие устройства.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3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1) 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lang w:eastAsia="ru-RU"/>
        </w:rPr>
        <w:t>Регулирование тока возбуждения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. Ток возбуждения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 крупных синхронных машинах составляет несколько сотен и даже тысяч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ампер. Поэтому экономически нецелесообразно регулировать его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 помощью реостата, </w:t>
      </w:r>
      <w:r w:rsidR="00F716B9"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включённого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в контур обмотки возбуждения —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якоря возбудителя. Потери в реостате заметно понижали бы КПД синхронной машины.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3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Управление током возбуждения осуществляется исключительно за счет изменения напряжения возбудителя </w:t>
      </w:r>
      <w:r w:rsidRPr="0063594E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пропорционально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изменяется ток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3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3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>В зависимости от режима, в котором работает синхронный генератор, должны устойчиво поддерживаться различные токи возбуж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дения и соответственно различные напряжения возбудителя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 электромашинной схеме по рис. 6.1 для регулирования напря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жения возбудителя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служат реостаты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РР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РР'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соответственно в цепи параллельной обмотки возбудителя и подвозбудителя. За счет введения в схему подвозбудителя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ПВ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пределы регулирования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3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94E" w:rsidRPr="0063594E" w:rsidRDefault="0063594E" w:rsidP="0063594E">
      <w:pPr>
        <w:shd w:val="clear" w:color="auto" w:fill="FFFFFF"/>
        <w:spacing w:after="0" w:line="240" w:lineRule="auto"/>
        <w:ind w:left="23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716B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65600" cy="1397000"/>
            <wp:effectExtent l="0" t="0" r="6350" b="0"/>
            <wp:docPr id="3" name="Рисунок 3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ba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6.2. Системы возбуждения синхронных генераторов.</w:t>
      </w:r>
    </w:p>
    <w:p w:rsidR="0063594E" w:rsidRPr="0063594E" w:rsidRDefault="0063594E" w:rsidP="0063594E">
      <w:pPr>
        <w:shd w:val="clear" w:color="auto" w:fill="FFFFFF"/>
        <w:spacing w:before="77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прямая злектромашинная; б — прямая с использованием выпрямителей;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система самовозбуждения; / — синхронный генератор;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2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возбудитель постоянного тока;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3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возбудитель переменного тока;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4 —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подвозбудитель возбудителя переменного тока;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5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выпрямитель ионный или полупроводниковый;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6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— регулятор возбуждения; 7 — транс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форматор;  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8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управляемый от регулятора возбуждения реактор; 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9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— трансформатор.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94E" w:rsidRPr="0063594E" w:rsidRDefault="0063594E" w:rsidP="0063594E">
      <w:pPr>
        <w:shd w:val="clear" w:color="auto" w:fill="FFFFFF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напряжения возбудителя существенно расширяются. В менее мощных синхронных машинах (а также при расширении пределов регу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лирования напряжения возбудителя путем введения нелинейных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сопротивлений в цепь его параллельной обмотки) подвозбудитель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отсутствовать.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2) </w:t>
      </w:r>
      <w:r w:rsidRPr="0063594E">
        <w:rPr>
          <w:rFonts w:ascii="Times New Roman" w:eastAsia="Times New Roman" w:hAnsi="Times New Roman" w:cs="Times New Roman"/>
          <w:bCs/>
          <w:i/>
          <w:spacing w:val="-6"/>
          <w:sz w:val="28"/>
          <w:szCs w:val="28"/>
          <w:lang w:eastAsia="ru-RU"/>
        </w:rPr>
        <w:t>Гашение поля возбуждения</w:t>
      </w:r>
      <w:r w:rsidRPr="0063594E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. В 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схеме возбуждения предусмат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ривается специальное устройство, с помощью которого можно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аварийной ситуации с достаточной быстротой уменьшить ток воз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буждения до нуля («погасить» магнитное поле). «Гашение поля»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осуществляется как при нормальной эксплуатации, так и в аварий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ситуации (например, при внутренних коротких замыканиях 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 обмотке статора) с помощью </w:t>
      </w:r>
      <w:r w:rsidRPr="0063594E">
        <w:rPr>
          <w:rFonts w:ascii="Times New Roman" w:eastAsia="Times New Roman" w:hAnsi="Times New Roman" w:cs="Times New Roman"/>
          <w:spacing w:val="56"/>
          <w:sz w:val="28"/>
          <w:szCs w:val="28"/>
          <w:lang w:eastAsia="ru-RU"/>
        </w:rPr>
        <w:t>автомата</w:t>
      </w:r>
      <w:r w:rsidRPr="0063594E">
        <w:rPr>
          <w:rFonts w:ascii="Times New Roman" w:eastAsia="Times New Roman" w:hAnsi="Times New Roman" w:cs="Times New Roman"/>
          <w:spacing w:val="61"/>
          <w:sz w:val="28"/>
          <w:szCs w:val="28"/>
          <w:lang w:eastAsia="ru-RU"/>
        </w:rPr>
        <w:t>гашения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поля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(АГП), объединяющего контакторы </w:t>
      </w:r>
      <w:r w:rsidRPr="0063594E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K</w:t>
      </w:r>
      <w:r w:rsidRPr="0063594E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2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 и гасительного сопро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тивления 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vertAlign w:val="subscript"/>
          <w:lang w:eastAsia="ru-RU"/>
        </w:rPr>
        <w:t>г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.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Прямой разрыв цепи возбуждения контактором 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наиболее быстро </w:t>
      </w:r>
      <w:r w:rsidR="00F716B9"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привёл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бы к желаемой цели (кривая </w:t>
      </w:r>
      <w:r w:rsidRPr="0063594E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 xml:space="preserve">1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на рис. 6-3).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Однако в сопротивлении электрической дуги, возникающей между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размыкаемыми контактами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выделяется за время гашения вся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энергия, </w:t>
      </w:r>
      <w:r w:rsidR="00F716B9"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запасённая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в магнитном поле возбуждения. В крупных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машинах эта энергия настолько велика, что при прямом разрыве контакты были бы разрушены. Кроме того, при столь быстром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уменьшении тока возбуждения (за счет введения в цепь весьма боль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шого сопротивления дуги) в обмотке появляется значительная ЭДС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самоиндукции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3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3pt" o:ole="">
            <v:imagedata r:id="rId9" o:title=""/>
          </v:shape>
          <o:OLEObject Type="Embed" ProgID="Equation.3" ShapeID="_x0000_i1025" DrawAspect="Content" ObjectID="_1569322914" r:id="rId10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которая во много раз превосходит номинальное напряжение на обмотке возбуждения и может повредить ее изоляцию.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6B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43100" cy="1562100"/>
            <wp:effectExtent l="0" t="0" r="0" b="0"/>
            <wp:docPr id="2" name="Рисунок 2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ba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6B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7700" cy="1651000"/>
            <wp:effectExtent l="0" t="0" r="6350" b="6350"/>
            <wp:docPr id="1" name="Рисунок 1" descr="prob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ba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6.3. Затухание тока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Рис. 6.4. Нарастание напряжения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возбуждения при гаше-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возбудителя и тока возбуждения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шении поля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форсировке возбуждения.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при прямом выключении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2 – при гашении поля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АГП.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Для исключения этих явлений «гашение поля» проводится с помощью АГП в следующем порядке. При включенном контакторе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включается контактор 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2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 (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 xml:space="preserve"> = 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2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),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замыкающий обмотку возбуждения на гасительное сопротивление 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г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>≈5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.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Затем 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>(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 xml:space="preserve"> = </w:t>
      </w:r>
      <w:r w:rsidRPr="0063594E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0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) размыкается контактор 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K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и возбудитель отделяется от обмотки воз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буждения. Поскольку энергия магнитного поля возбуждения в са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мой синхронной машине при этом не изменяется, размыкание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eastAsia="ru-RU"/>
        </w:rPr>
        <w:t>1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происходит без нежелательных осложнений. После этого ток воз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буждения затухает с постоянной времени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2860" w:dyaOrig="740">
          <v:shape id="_x0000_i1026" type="#_x0000_t75" style="width:143pt;height:37pt" o:ole="">
            <v:imagedata r:id="rId13" o:title=""/>
          </v:shape>
          <o:OLEObject Type="Embed" ProgID="Equation.3" ShapeID="_x0000_i1026" DrawAspect="Content" ObjectID="_1569322915" r:id="rId14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где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eastAsia="ru-RU"/>
        </w:rPr>
        <w:t xml:space="preserve"> =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L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eastAsia="ru-RU"/>
        </w:rPr>
        <w:t>/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— постоянная времени обмотки возбуждения при разомкнутых других обмотках, в соответствии с урав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нением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340" w:dyaOrig="420">
          <v:shape id="_x0000_i1027" type="#_x0000_t75" style="width:67pt;height:21pt" o:ole="">
            <v:imagedata r:id="rId15" o:title=""/>
          </v:shape>
          <o:OLEObject Type="Embed" ProgID="Equation.3" ShapeID="_x0000_i1027" DrawAspect="Content" ObjectID="_1569322916" r:id="rId16"/>
        </w:objec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кривой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2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6-3.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7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Гасительное сопротивление подбирается таким образом, чтобы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гашение поля происходило достаточно быстро, но без появления недопустимых по условиям электрической прочности изоляции напряжений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7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5080" w:dyaOrig="740">
          <v:shape id="_x0000_i1028" type="#_x0000_t75" style="width:254pt;height:37pt" o:ole="">
            <v:imagedata r:id="rId17" o:title=""/>
          </v:shape>
          <o:OLEObject Type="Embed" ProgID="Equation.3" ShapeID="_x0000_i1028" DrawAspect="Content" ObjectID="_1569322917" r:id="rId18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обычно рекомендуемом гасительном сопротивлении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Г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постоянная времени гашения поля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=1/6(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)≈1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; напряжение на гасительном сопротивлении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eastAsia="ru-RU"/>
        </w:rPr>
        <w:t>г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не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превосходит пятикратного номинального напряжения возбуждения.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3)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Форсировка возбуждения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удержания синхронного генератора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 синхронизме при снижении напряжения сети, которое может произойти при </w:t>
      </w:r>
      <w:r w:rsidR="00F716B9"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удалённых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коротких замыканиях,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прибегают к форсированию ее тока возбуждения. Форсирование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производится автоматически релейной защитой машины, от которой 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поступает импульс на включение контакторов </w:t>
      </w:r>
      <w:r w:rsidRPr="0063594E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>К</w:t>
      </w:r>
      <w:r w:rsidRPr="0063594E">
        <w:rPr>
          <w:rFonts w:ascii="Times New Roman" w:eastAsia="Times New Roman" w:hAnsi="Times New Roman" w:cs="Times New Roman"/>
          <w:i/>
          <w:spacing w:val="-5"/>
          <w:sz w:val="28"/>
          <w:szCs w:val="28"/>
          <w:vertAlign w:val="subscript"/>
          <w:lang w:eastAsia="ru-RU"/>
        </w:rPr>
        <w:t>1ф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(рис. 6.1).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этом замыкаются накоротко форсировочные резисторы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vertAlign w:val="superscript"/>
          <w:lang w:eastAsia="ru-RU"/>
        </w:rPr>
        <w:t>’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vertAlign w:val="subscript"/>
          <w:lang w:eastAsia="ru-RU"/>
        </w:rPr>
        <w:t>ф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и регулировочный резистор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eastAsia="ru-RU"/>
        </w:rPr>
        <w:t>РР</w:t>
      </w:r>
      <w:r w:rsidRPr="0063594E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и напряжение на якоре воз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будителя с большой скоростью возрастает до предельного значе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ния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fm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(рис. 6.4). С запозданием, определяемым постоянной времени обмотки возбуждения синхронной машины, ток возбуждения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достигает предельного значения: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1380" w:dyaOrig="740">
          <v:shape id="_x0000_i1029" type="#_x0000_t75" style="width:69pt;height:37pt" o:ole="">
            <v:imagedata r:id="rId19" o:title=""/>
          </v:shape>
          <o:OLEObject Type="Embed" ProgID="Equation.3" ShapeID="_x0000_i1029" DrawAspect="Content" ObjectID="_1569322918" r:id="rId20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Согласно стандарту ГОСТ эффективность форсировки 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возбуждения характеризуется </w:t>
      </w:r>
      <w:r w:rsidRPr="0063594E">
        <w:rPr>
          <w:rFonts w:ascii="Times New Roman" w:eastAsia="Times New Roman" w:hAnsi="Times New Roman" w:cs="Times New Roman"/>
          <w:spacing w:val="63"/>
          <w:sz w:val="28"/>
          <w:szCs w:val="28"/>
          <w:lang w:eastAsia="ru-RU"/>
        </w:rPr>
        <w:t>кратностью</w:t>
      </w:r>
      <w:r w:rsidRPr="0063594E">
        <w:rPr>
          <w:rFonts w:ascii="Times New Roman" w:eastAsia="Times New Roman" w:hAnsi="Times New Roman" w:cs="Times New Roman"/>
          <w:spacing w:val="49"/>
          <w:sz w:val="28"/>
          <w:szCs w:val="28"/>
          <w:lang w:eastAsia="ru-RU"/>
        </w:rPr>
        <w:t xml:space="preserve">предельного </w:t>
      </w:r>
      <w:r w:rsidRPr="0063594E">
        <w:rPr>
          <w:rFonts w:ascii="Times New Roman" w:eastAsia="Times New Roman" w:hAnsi="Times New Roman" w:cs="Times New Roman"/>
          <w:spacing w:val="58"/>
          <w:sz w:val="28"/>
          <w:szCs w:val="28"/>
          <w:lang w:eastAsia="ru-RU"/>
        </w:rPr>
        <w:t>установившегося</w:t>
      </w:r>
      <w:r w:rsidRPr="0063594E">
        <w:rPr>
          <w:rFonts w:ascii="Times New Roman" w:eastAsia="Times New Roman" w:hAnsi="Times New Roman" w:cs="Times New Roman"/>
          <w:spacing w:val="65"/>
          <w:sz w:val="28"/>
          <w:szCs w:val="28"/>
          <w:lang w:eastAsia="ru-RU"/>
        </w:rPr>
        <w:t>напряжения</w:t>
      </w:r>
      <w:r w:rsidRPr="0063594E">
        <w:rPr>
          <w:rFonts w:ascii="Times New Roman" w:eastAsia="Times New Roman" w:hAnsi="Times New Roman" w:cs="Times New Roman"/>
          <w:spacing w:val="50"/>
          <w:sz w:val="28"/>
          <w:szCs w:val="28"/>
          <w:lang w:eastAsia="ru-RU"/>
        </w:rPr>
        <w:t xml:space="preserve">возбудителя,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под которой понимается отношение наибольшего установившегося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напряжения возбудителя 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val="en-US" w:eastAsia="ru-RU"/>
        </w:rPr>
        <w:t>fm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к номинальному напряжению воз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буждения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f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атакже </w:t>
      </w:r>
      <w:r w:rsidRPr="0063594E">
        <w:rPr>
          <w:rFonts w:ascii="Times New Roman" w:eastAsia="Times New Roman" w:hAnsi="Times New Roman" w:cs="Times New Roman"/>
          <w:spacing w:val="71"/>
          <w:sz w:val="28"/>
          <w:szCs w:val="28"/>
          <w:lang w:eastAsia="ru-RU"/>
        </w:rPr>
        <w:t>номинал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ьной </w:t>
      </w:r>
      <w:r w:rsidRPr="0063594E">
        <w:rPr>
          <w:rFonts w:ascii="Times New Roman" w:eastAsia="Times New Roman" w:hAnsi="Times New Roman" w:cs="Times New Roman"/>
          <w:spacing w:val="53"/>
          <w:sz w:val="28"/>
          <w:szCs w:val="28"/>
          <w:lang w:eastAsia="ru-RU"/>
        </w:rPr>
        <w:t>скоро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стью </w:t>
      </w:r>
      <w:r w:rsidRPr="0063594E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>нарастания</w:t>
      </w:r>
      <w:r w:rsidRPr="0063594E">
        <w:rPr>
          <w:rFonts w:ascii="Times New Roman" w:eastAsia="Times New Roman" w:hAnsi="Times New Roman" w:cs="Times New Roman"/>
          <w:spacing w:val="68"/>
          <w:sz w:val="28"/>
          <w:szCs w:val="28"/>
          <w:lang w:eastAsia="ru-RU"/>
        </w:rPr>
        <w:t>напряжения</w:t>
      </w:r>
      <w:r w:rsidRPr="0063594E">
        <w:rPr>
          <w:rFonts w:ascii="Times New Roman" w:eastAsia="Times New Roman" w:hAnsi="Times New Roman" w:cs="Times New Roman"/>
          <w:spacing w:val="61"/>
          <w:sz w:val="28"/>
          <w:szCs w:val="28"/>
          <w:lang w:eastAsia="ru-RU"/>
        </w:rPr>
        <w:t xml:space="preserve">возбудителя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(на участке от точки 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1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до точки </w:t>
      </w:r>
      <w:r w:rsidRPr="0063594E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2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на рис. 6.4), определяемой по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формуле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719" w:dyaOrig="740">
          <v:shape id="_x0000_i1030" type="#_x0000_t75" style="width:86pt;height:37pt" o:ole="">
            <v:imagedata r:id="rId21" o:title=""/>
          </v:shape>
          <o:OLEObject Type="Embed" ProgID="Equation.3" ShapeID="_x0000_i1030" DrawAspect="Content" ObjectID="_1569322919" r:id="rId22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Крупные генераторы и компенсаторы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должны иметь кратность предельного установившегося на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пряжения возбудителя 1,8—2,0 и номинальную скорость нарастания напряжения возбудителя 1,5—2,0 номинального напряжения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на контактных кольцах в секунду. Для прочих синхронных машин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кратность — не менее 1,4; скорость — не менее 0,8 номинального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напряжения в секунду.</w:t>
      </w:r>
    </w:p>
    <w:p w:rsidR="0063594E" w:rsidRPr="0063594E" w:rsidRDefault="00AD09D8" w:rsidP="00AD09D8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1" w:name="_Toc427338686"/>
      <w:r>
        <w:rPr>
          <w:rFonts w:ascii="Times New Roman" w:eastAsia="Times New Roman" w:hAnsi="Times New Roman" w:cs="Times New Roman"/>
          <w:bCs w:val="0"/>
          <w:lang w:eastAsia="ru-RU"/>
        </w:rPr>
        <w:tab/>
      </w:r>
      <w:r w:rsidR="00C86093">
        <w:rPr>
          <w:rFonts w:ascii="Times New Roman" w:eastAsia="Times New Roman" w:hAnsi="Times New Roman" w:cs="Times New Roman"/>
          <w:bCs w:val="0"/>
          <w:lang w:eastAsia="ru-RU"/>
        </w:rPr>
        <w:t xml:space="preserve">6.2 </w:t>
      </w:r>
      <w:r w:rsidR="0063594E" w:rsidRPr="0063594E">
        <w:rPr>
          <w:rFonts w:ascii="Times New Roman" w:eastAsia="Times New Roman" w:hAnsi="Times New Roman" w:cs="Times New Roman"/>
          <w:lang w:eastAsia="ru-RU"/>
        </w:rPr>
        <w:t>Классификация систем возбуждения</w:t>
      </w:r>
      <w:bookmarkEnd w:id="1"/>
    </w:p>
    <w:p w:rsidR="0063594E" w:rsidRPr="0063594E" w:rsidRDefault="0063594E" w:rsidP="0063594E">
      <w:pPr>
        <w:shd w:val="clear" w:color="auto" w:fill="FFFFFF"/>
        <w:spacing w:after="0" w:line="240" w:lineRule="auto"/>
        <w:ind w:left="5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50-х годов для возбуждения синхронных машин применя</w:t>
      </w:r>
      <w:r w:rsidRPr="0063594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лись почти исключительно </w:t>
      </w:r>
      <w:r w:rsidRPr="0063594E">
        <w:rPr>
          <w:rFonts w:ascii="Times New Roman" w:eastAsia="Times New Roman" w:hAnsi="Times New Roman" w:cs="Times New Roman"/>
          <w:spacing w:val="64"/>
          <w:sz w:val="28"/>
          <w:szCs w:val="28"/>
          <w:lang w:eastAsia="ru-RU"/>
        </w:rPr>
        <w:t>электромашинные</w:t>
      </w:r>
      <w:r w:rsidRPr="0063594E">
        <w:rPr>
          <w:rFonts w:ascii="Times New Roman" w:eastAsia="Times New Roman" w:hAnsi="Times New Roman" w:cs="Times New Roman"/>
          <w:spacing w:val="43"/>
          <w:sz w:val="28"/>
          <w:szCs w:val="28"/>
          <w:lang w:eastAsia="ru-RU"/>
        </w:rPr>
        <w:t xml:space="preserve">системы </w:t>
      </w:r>
      <w:r w:rsidRPr="0063594E">
        <w:rPr>
          <w:rFonts w:ascii="Times New Roman" w:eastAsia="Times New Roman" w:hAnsi="Times New Roman" w:cs="Times New Roman"/>
          <w:spacing w:val="58"/>
          <w:sz w:val="28"/>
          <w:szCs w:val="28"/>
          <w:lang w:eastAsia="ru-RU"/>
        </w:rPr>
        <w:t>возбуждения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. В этих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системах в качестве возбудителя используется коллекторный гене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ратор постоянного тока.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right="3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pacing w:val="66"/>
          <w:sz w:val="28"/>
          <w:szCs w:val="28"/>
          <w:lang w:eastAsia="ru-RU"/>
        </w:rPr>
        <w:t>прямых</w:t>
      </w:r>
      <w:r w:rsidRPr="0063594E">
        <w:rPr>
          <w:rFonts w:ascii="Times New Roman" w:eastAsia="Times New Roman" w:hAnsi="Times New Roman" w:cs="Times New Roman"/>
          <w:spacing w:val="62"/>
          <w:sz w:val="28"/>
          <w:szCs w:val="28"/>
          <w:lang w:eastAsia="ru-RU"/>
        </w:rPr>
        <w:t>электромашинных</w:t>
      </w:r>
      <w:r w:rsidRPr="0063594E">
        <w:rPr>
          <w:rFonts w:ascii="Times New Roman" w:eastAsia="Times New Roman" w:hAnsi="Times New Roman" w:cs="Times New Roman"/>
          <w:spacing w:val="58"/>
          <w:sz w:val="28"/>
          <w:szCs w:val="28"/>
          <w:lang w:eastAsia="ru-RU"/>
        </w:rPr>
        <w:t>системах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воз</w:t>
      </w:r>
      <w:r w:rsidRPr="0063594E">
        <w:rPr>
          <w:rFonts w:ascii="Times New Roman" w:eastAsia="Times New Roman" w:hAnsi="Times New Roman" w:cs="Times New Roman"/>
          <w:spacing w:val="63"/>
          <w:sz w:val="28"/>
          <w:szCs w:val="28"/>
          <w:lang w:eastAsia="ru-RU"/>
        </w:rPr>
        <w:t>буждения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якорь возбудителя </w:t>
      </w:r>
      <w:r w:rsidR="00F716B9"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сопряжён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непосредственно с ва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лом синхронного генератора (см. рис. 6.2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pacing w:val="58"/>
          <w:sz w:val="28"/>
          <w:szCs w:val="28"/>
          <w:lang w:eastAsia="ru-RU"/>
        </w:rPr>
        <w:t>косвенных</w:t>
      </w:r>
      <w:r w:rsidRPr="0063594E">
        <w:rPr>
          <w:rFonts w:ascii="Times New Roman" w:eastAsia="Times New Roman" w:hAnsi="Times New Roman" w:cs="Times New Roman"/>
          <w:spacing w:val="61"/>
          <w:sz w:val="28"/>
          <w:szCs w:val="28"/>
          <w:lang w:eastAsia="ru-RU"/>
        </w:rPr>
        <w:t>электромашинных</w:t>
      </w:r>
      <w:r w:rsidRPr="0063594E">
        <w:rPr>
          <w:rFonts w:ascii="Times New Roman" w:eastAsia="Times New Roman" w:hAnsi="Times New Roman" w:cs="Times New Roman"/>
          <w:spacing w:val="50"/>
          <w:sz w:val="28"/>
          <w:szCs w:val="28"/>
          <w:lang w:eastAsia="ru-RU"/>
        </w:rPr>
        <w:t xml:space="preserve">системах </w:t>
      </w:r>
      <w:r w:rsidRPr="0063594E">
        <w:rPr>
          <w:rFonts w:ascii="Times New Roman" w:eastAsia="Times New Roman" w:hAnsi="Times New Roman" w:cs="Times New Roman"/>
          <w:spacing w:val="62"/>
          <w:sz w:val="28"/>
          <w:szCs w:val="28"/>
          <w:lang w:eastAsia="ru-RU"/>
        </w:rPr>
        <w:t>возбужден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ия ротор возбудителя приводится во вращение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синхронным или асинхронным двигателем, получающим питание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или от шин собственных нужд станции, или от вспомогательного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синхронного генератора на валу главного генератора, или от вспомогательного синхронного генератора, установленного на станции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 для этой цели. Эти системы возбуждения отличаются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от </w:t>
      </w:r>
      <w:r w:rsidR="00F716B9"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приведённых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на рис. 6.2, </w:t>
      </w:r>
      <w:r w:rsidRPr="0063594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а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и </w:t>
      </w:r>
      <w:r w:rsidRPr="0063594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б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только тем, что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lastRenderedPageBreak/>
        <w:t xml:space="preserve">ротор возбудителя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сопряжён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 валом генератора, а с отдельным двигателем.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 соответствии с ГОСТ гидрогенераторы и турбогенераторы должны иметь прямые системы возбуждения, обладаю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щие наибольшей </w:t>
      </w:r>
      <w:r w:rsidR="00F716B9"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надёжностью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(применение косвенной системы воз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буждения требует особого согласования). Предельная мощность 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электромашинных возбудителей по условиям коммутации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зависит от их частоты вращения, совпадающей, как правило, с ча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стотой вращения возбуждаемого синхронного генератора (при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3000 об/мин не более 600 кВт). Поэтому электромашинные системы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возбуждения не могут быть применены в двухполюсных турбогене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раторах, мощность которых превосходит 100—150 МВт.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4" w:righ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Начиная с 50-х годов по мере освоения производства и повышения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надёжности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полупроводниковых выпрямителей, получают </w:t>
      </w:r>
      <w:r w:rsidRPr="0063594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все большее применение </w:t>
      </w:r>
      <w:r w:rsidRPr="0063594E">
        <w:rPr>
          <w:rFonts w:ascii="Times New Roman" w:eastAsia="Times New Roman" w:hAnsi="Times New Roman" w:cs="Times New Roman"/>
          <w:spacing w:val="61"/>
          <w:sz w:val="28"/>
          <w:szCs w:val="28"/>
          <w:lang w:eastAsia="ru-RU"/>
        </w:rPr>
        <w:t>вентильные</w:t>
      </w:r>
      <w:r w:rsidRPr="0063594E">
        <w:rPr>
          <w:rFonts w:ascii="Times New Roman" w:eastAsia="Times New Roman" w:hAnsi="Times New Roman" w:cs="Times New Roman"/>
          <w:spacing w:val="55"/>
          <w:sz w:val="28"/>
          <w:szCs w:val="28"/>
          <w:lang w:eastAsia="ru-RU"/>
        </w:rPr>
        <w:t>системы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</w:t>
      </w:r>
      <w:r w:rsidRPr="0063594E">
        <w:rPr>
          <w:rFonts w:ascii="Times New Roman" w:eastAsia="Times New Roman" w:hAnsi="Times New Roman" w:cs="Times New Roman"/>
          <w:spacing w:val="65"/>
          <w:sz w:val="28"/>
          <w:szCs w:val="28"/>
          <w:lang w:eastAsia="ru-RU"/>
        </w:rPr>
        <w:t>буждения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кремниевыми диодами и тиристорами. В 60— 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70-е годы вентильные системы возбуждения почти полностью вытес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нили электромашинные системы возбуждения. Они повсеместно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применяются не только для синхронных двигателей и генераторов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небольшой мощности, но и для крупных турбогенераторов, гидро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  <w:t>генераторов и синхронных компенсаторов, в том числе и для уста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новок предельных мощностей.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36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Различают три основные разновидности вентильных систем воз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буждения: системы самовозбуждения, независимые системы воз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буждения и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бесщёточные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возбуждения.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pacing w:val="56"/>
          <w:sz w:val="28"/>
          <w:szCs w:val="28"/>
          <w:lang w:eastAsia="ru-RU"/>
        </w:rPr>
        <w:t>системе</w:t>
      </w:r>
      <w:r w:rsidRPr="0063594E">
        <w:rPr>
          <w:rFonts w:ascii="Times New Roman" w:eastAsia="Times New Roman" w:hAnsi="Times New Roman" w:cs="Times New Roman"/>
          <w:spacing w:val="60"/>
          <w:sz w:val="28"/>
          <w:szCs w:val="28"/>
          <w:lang w:eastAsia="ru-RU"/>
        </w:rPr>
        <w:t>самовозбуждения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(см. рис. 6.2, </w:t>
      </w:r>
      <w:r w:rsidRPr="0063594E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>в</w:t>
      </w:r>
      <w:r w:rsidRPr="0063594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)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необходимая для возбуждения синхронной машины энергия отби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рается от ее обмотки якоря, </w:t>
      </w:r>
      <w:r w:rsidR="00F716B9"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причём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выпрямление переменного тока,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получаемого от якоря, осуществляется с помощью управляемых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полупроводниковых выпрямителей (тиристоров). Отбор энергии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осуществляется с помощью трансформатора 7, включаемого парал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лельно с обмоткой якоря, и трансформатора 9, </w:t>
      </w:r>
      <w:r w:rsidR="00F716B9"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включённого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после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довательно с обмоткой якоря. Трансформатор </w:t>
      </w:r>
      <w:r w:rsidRPr="0063594E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9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позволяет обеспечить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форсирование возбуждения при близких коротких замыканиях, когда напряжение на обмотке якоря существенно снижается.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7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63594E">
        <w:rPr>
          <w:rFonts w:ascii="Times New Roman" w:eastAsia="Times New Roman" w:hAnsi="Times New Roman" w:cs="Times New Roman"/>
          <w:spacing w:val="66"/>
          <w:sz w:val="28"/>
          <w:szCs w:val="28"/>
          <w:lang w:eastAsia="ru-RU"/>
        </w:rPr>
        <w:t>независимой</w:t>
      </w:r>
      <w:r w:rsidRPr="0063594E">
        <w:rPr>
          <w:rFonts w:ascii="Times New Roman" w:eastAsia="Times New Roman" w:hAnsi="Times New Roman" w:cs="Times New Roman"/>
          <w:spacing w:val="57"/>
          <w:sz w:val="28"/>
          <w:szCs w:val="28"/>
          <w:lang w:eastAsia="ru-RU"/>
        </w:rPr>
        <w:t>системе</w:t>
      </w:r>
      <w:r w:rsidRPr="0063594E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>возбуждения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рис. 6.2, 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)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энергия, необходимая для питания обмотки возбуж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дения, получается от возбудителя трехфазного переменного тока 3,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ротор которого </w:t>
      </w:r>
      <w:r w:rsidR="00F716B9"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укреплён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на валу главного генератора. В схемах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выпрямителей в этом случае используются полупроводниковые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вентили (кремниевые диоды или тиристоры), собранные по трехфаз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ной мостовой схеме. При регулировании возбуждения генератора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используются одновременно возможности управления выпрями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телями и изменение напряжения возбудителя.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Одной из разновидностей системы независимого возбуждения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</w:t>
      </w:r>
      <w:r w:rsidR="00F716B9" w:rsidRPr="0063594E">
        <w:rPr>
          <w:rFonts w:ascii="Times New Roman" w:eastAsia="Times New Roman" w:hAnsi="Times New Roman" w:cs="Times New Roman"/>
          <w:spacing w:val="65"/>
          <w:sz w:val="28"/>
          <w:szCs w:val="28"/>
          <w:lang w:eastAsia="ru-RU"/>
        </w:rPr>
        <w:t>бесщёточная</w:t>
      </w:r>
      <w:r w:rsidRPr="0063594E">
        <w:rPr>
          <w:rFonts w:ascii="Times New Roman" w:eastAsia="Times New Roman" w:hAnsi="Times New Roman" w:cs="Times New Roman"/>
          <w:spacing w:val="64"/>
          <w:sz w:val="28"/>
          <w:szCs w:val="28"/>
          <w:lang w:eastAsia="ru-RU"/>
        </w:rPr>
        <w:t>система</w:t>
      </w:r>
      <w:r w:rsidRPr="0063594E">
        <w:rPr>
          <w:rFonts w:ascii="Times New Roman" w:eastAsia="Times New Roman" w:hAnsi="Times New Roman" w:cs="Times New Roman"/>
          <w:spacing w:val="68"/>
          <w:sz w:val="28"/>
          <w:szCs w:val="28"/>
          <w:lang w:eastAsia="ru-RU"/>
        </w:rPr>
        <w:t xml:space="preserve">возбуждения 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 установленными на валу машины полупроводниковыми выпрями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телями, в которой отсутствуют скользящие контакты. Эта система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отличается от системы по рис. 6.2, </w:t>
      </w:r>
      <w:r w:rsidRPr="0063594E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>б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тем, что </w:t>
      </w:r>
      <w:r w:rsidRPr="0063594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lastRenderedPageBreak/>
        <w:t xml:space="preserve">обмотка переменного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тока возбудителя </w:t>
      </w:r>
      <w:r w:rsidRPr="0063594E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3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располагается на его роторе, а выпрямитель 5,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получающий питание от этой обмотки, </w:t>
      </w:r>
      <w:r w:rsidR="00F716B9"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укреплён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на валу. Обмотка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возбуждения возбудителя, расположенная на его статоре, получает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питание от подвозбудителя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4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регулятора возбуждения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6.</w:t>
      </w:r>
    </w:p>
    <w:p w:rsidR="00C86093" w:rsidRDefault="00AD09D8" w:rsidP="00AD09D8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2" w:name="_Toc427338687"/>
      <w:r>
        <w:rPr>
          <w:rFonts w:ascii="Times New Roman" w:eastAsia="Times New Roman" w:hAnsi="Times New Roman" w:cs="Times New Roman"/>
          <w:lang w:eastAsia="ru-RU"/>
        </w:rPr>
        <w:tab/>
      </w:r>
      <w:r w:rsidR="00C86093">
        <w:rPr>
          <w:rFonts w:ascii="Times New Roman" w:eastAsia="Times New Roman" w:hAnsi="Times New Roman" w:cs="Times New Roman"/>
          <w:lang w:eastAsia="ru-RU"/>
        </w:rPr>
        <w:t xml:space="preserve">6.3 </w:t>
      </w:r>
      <w:r w:rsidR="0063594E" w:rsidRPr="0063594E">
        <w:rPr>
          <w:rFonts w:ascii="Times New Roman" w:eastAsia="Times New Roman" w:hAnsi="Times New Roman" w:cs="Times New Roman"/>
          <w:lang w:eastAsia="ru-RU"/>
        </w:rPr>
        <w:t>Системы охлаждения генераторов</w:t>
      </w:r>
      <w:bookmarkEnd w:id="2"/>
    </w:p>
    <w:p w:rsidR="0063594E" w:rsidRPr="0063594E" w:rsidRDefault="0063594E" w:rsidP="006359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генератора в его обмотках и магнитопроводах происходят потери энергии, которые выделяются в генераторе в виде тепла. Это приводит к повышению температуры элементов конструкции генератора. Повышение температуры особенно опасно для изоляции, т.к. вызывает быстрое ее старение. Для ограничения температуры генератора до уровня, когда старение изоляции будет проходить медленно и срок эксплуатации генератора будет равен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расчётному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применяют системы искусственного охлаждения.</w:t>
      </w:r>
    </w:p>
    <w:p w:rsidR="0063594E" w:rsidRPr="0063594E" w:rsidRDefault="0063594E" w:rsidP="00C860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Охлаждение, в зависимости от конкретной конструкции, может производиться воздухом, водородом, водой, маслом. Отвод тепла может производиться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непосредственно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проводников обмотки по каналам, расположенным внутри пазов, или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косвенно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поверхности ротора и статора.</w:t>
      </w:r>
    </w:p>
    <w:p w:rsidR="0063594E" w:rsidRPr="0063594E" w:rsidRDefault="00AD09D8" w:rsidP="00AD09D8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3" w:name="_Toc427338688"/>
      <w:r>
        <w:rPr>
          <w:rFonts w:ascii="Times New Roman" w:eastAsia="Times New Roman" w:hAnsi="Times New Roman" w:cs="Times New Roman"/>
          <w:lang w:eastAsia="ru-RU"/>
        </w:rPr>
        <w:tab/>
      </w:r>
      <w:bookmarkStart w:id="4" w:name="_GoBack"/>
      <w:bookmarkEnd w:id="4"/>
      <w:r w:rsidR="00C86093">
        <w:rPr>
          <w:rFonts w:ascii="Times New Roman" w:eastAsia="Times New Roman" w:hAnsi="Times New Roman" w:cs="Times New Roman"/>
          <w:lang w:eastAsia="ru-RU"/>
        </w:rPr>
        <w:t xml:space="preserve">6.4 </w:t>
      </w:r>
      <w:r w:rsidR="0063594E" w:rsidRPr="0063594E">
        <w:rPr>
          <w:rFonts w:ascii="Times New Roman" w:eastAsia="Times New Roman" w:hAnsi="Times New Roman" w:cs="Times New Roman"/>
          <w:lang w:eastAsia="ru-RU"/>
        </w:rPr>
        <w:t>Включение синхронных генераторов на параллельную работу</w:t>
      </w:r>
      <w:bookmarkEnd w:id="3"/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синхронных машин в сеть на параллельную работу производят - способом точной синхронизации и способом грубой синхронизации, который для генераторов обычно называют способом самосинхронизации. Иногда для синхронных машин применяют также частотный пуск, а для генераторов и несинхронное включение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Способ точной синхронизации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Этот способ используют при включении в сеть синхронных генераторов. Он состоит в том, что генератор сначала разворачивают турбиной до частоты вращения, близкой к синхронной, а затем возбуждают и при определенных условиях включают в сеть. Условиями, необходимыми для включения машины, являются: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равенство напряжений включаемого генератора и работающего генератора или сети;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совпадение фаз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этих напряжений;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3) равенство частот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включаемого генератора и работающего генератора или сети.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Первое усло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вие обеспечивается путем регулирования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тока возбуждения машины, а для выполнения второго и третьего условий необходимо изменение вращающего момента на ее валу, что достигается изме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нением количества пара или воды, пропускаемых через турбину.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Выполнение условий точной синхро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низации может быть осуществлено вручную или автоматически. При ручной синхронизации все операции по регулированию возбуждения и подгонке частоты выполняет дежурный персонал, а при автоматической синхронизации — автоматические устройства. Применяется также ручная синхронизация с автоматическим контролем синхронизма, который запрещает включение выключателя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синхронизируемой машины при несоблюдении условий синхронизации. При точной ручной синхронизации напряжения и частоты контролируют по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установленным на щите управления двум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вольтметрам и двум частотомерам, а сдвиг по фазе напряжений — по синхроноскопу; последний позволяет не только уловить момент совпадения фаз напряжений, но также определить, вращается ли включаемый генератор быстрее или медленнее, чем работающие. Указанные приборы объединяют в так называемую «колонку синхронизации». Вольтметр и частотомер, относящиеся к синхронизируемому генератору, подключают к его трансформатору напряжения, а вольтметр и частотомер, относящиеся к работающим генераторам (или сети), обычно подключают к трансформатору напряжения сборных шин станции. Синхроноскоп подключают одновременно к обоим трансформаторам напряжения.</w:t>
      </w:r>
    </w:p>
    <w:p w:rsidR="0063594E" w:rsidRPr="0063594E" w:rsidRDefault="0063594E" w:rsidP="0063594E">
      <w:pPr>
        <w:shd w:val="clear" w:color="auto" w:fill="FFFFFF"/>
        <w:spacing w:before="5"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соблюдении всех вышеуказанных условий разность напряжений генератора и сети равна нулю, поэтому уравнительного тока между включенным и другими генераторами не возникает. Точной ручной синхронизации свойственны следующие недостатки: </w:t>
      </w:r>
    </w:p>
    <w:p w:rsidR="0063594E" w:rsidRPr="0063594E" w:rsidRDefault="0063594E" w:rsidP="0063594E">
      <w:pPr>
        <w:shd w:val="clear" w:color="auto" w:fill="FFFFFF"/>
        <w:spacing w:before="5" w:after="0" w:line="240" w:lineRule="auto"/>
        <w:ind w:lef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сложность процесса включения из-за необходимости подгонки напряжения по модулю и фазе, а также частоты гене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ратора;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 большая длительность вклю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чения — от нескольких минут в нормаль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 режиме до нескольких десятков минут при  авариях в системе, сопровождающихся изменением частоты и напряжения, когда особенно важно обеспечить быстрое включение генератора в сеть;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3) возможность механи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ческих повреждений генератора и пер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вичного двигателя при включении агрегата с большим углом опережения.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Способ самосинхронизации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исключает необходимость точной подгонки частоты и фазы напряжения включаемой синхронной машины. Последнюю разворачивают до частоты вращения, незначительно отличающейся от синхронной (с точностью до несколь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ких процентов), и </w:t>
      </w:r>
      <w:r w:rsidR="00F716B9"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невозбуждённой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вклю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чают в сеть. При этом обмотку возбуждения замыкают на разрядный резистор, используемый при гашении поля, либо на специально предусмотренный для этой цели резистор, либо на якорь возбудителя, чтобы избежать появления в обмотке возбуждения напряжений, опасных для ее изоляции. После включения генератора в сеть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подаётся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импульс на включение АГП и машина возбуждается.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момент включения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невозбуждённой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синхронной машины в сеть имеет место бросок тока статора и снижение напряжения в сети. Однако ток и соответствующая электродинамическая сила (она пропорциональна квадрату тока) меньше, чем при КЗ на выводах генератора. Это объясняется тем, что ток статора в момент включения определяется только напряжением сети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t>c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(так как генератор не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возбуждён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ЭДС равна нулю), которое меньше ЭДС нормального режима, и суммарными сопротивлениями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Х"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t>dΣ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t>qΣ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“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кторые больше соответствующих сопро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тивлений генератора 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lang w:val="en-US" w:eastAsia="ru-RU"/>
        </w:rPr>
        <w:t>X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>"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vertAlign w:val="subscript"/>
          <w:lang w:val="en-US" w:eastAsia="ru-RU"/>
        </w:rPr>
        <w:t>d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lang w:val="en-US" w:eastAsia="ru-RU"/>
        </w:rPr>
        <w:t>X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>"</w:t>
      </w:r>
      <w:r w:rsidRPr="0063594E">
        <w:rPr>
          <w:rFonts w:ascii="Times New Roman" w:eastAsia="Times New Roman" w:hAnsi="Times New Roman" w:cs="Times New Roman"/>
          <w:iCs/>
          <w:spacing w:val="-6"/>
          <w:sz w:val="28"/>
          <w:szCs w:val="28"/>
          <w:vertAlign w:val="subscript"/>
          <w:lang w:val="en-US" w:eastAsia="ru-RU"/>
        </w:rPr>
        <w:t>q</w:t>
      </w:r>
      <w:r w:rsidRPr="0063594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за счет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сопротивлений сети. Кроме того, при самосинхронизации затухание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свободных периодических составляющих тока происходит быстрее, чем при КЗ, так как в первом случае ротор замкнут на разрядный резистор. Поэтому даже ошибочное включение машины в сеть с большим  скольжением,  когда  продолжительность действия повышенных токов достаточно велика, не представляет опасности.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Испытания показали, что обмотка статора в механическом отношении не реагирует на первый пик тока включения; деформация достигает наибольшего значения только спустя несколько периодов после включения. Учитывая также быстрое затухание свободной сверхпереходной составляющей тока статора, можно при оценке допустимости самосинхронизации начальное значение периодической составляющей тока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п0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напряжение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выводах генератора определять по переходному сопротивлению: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200" w:dyaOrig="700">
          <v:shape id="_x0000_i1031" type="#_x0000_t75" style="width:110pt;height:35pt" o:ole="">
            <v:imagedata r:id="rId23" o:title=""/>
          </v:shape>
          <o:OLEObject Type="Embed" ProgID="Equation.3" ShapeID="_x0000_i1031" DrawAspect="Content" ObjectID="_1569322920" r:id="rId24"/>
        </w:objec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80">
          <v:shape id="_x0000_i1032" type="#_x0000_t75" style="width:54pt;height:19pt" o:ole="">
            <v:imagedata r:id="rId25" o:title=""/>
          </v:shape>
          <o:OLEObject Type="Embed" ProgID="Equation.3" ShapeID="_x0000_i1032" DrawAspect="Content" ObjectID="_1569322921" r:id="rId26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Электродинамические силы, воздействующие при самосинхронизации на обмотку статора  неявнополюсных машин, больше, чем явнополюсных, так  как неявнополюсные машины имеют относительно большие полюсные </w:t>
      </w:r>
      <w:r w:rsidRPr="006359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деле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ния, большие вылеты лобовых соединений обмотки статора и меньшие </w:t>
      </w:r>
      <w:r w:rsidRPr="006359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индук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тивные сопротивления (определяющие начальное значение тока включения), чем явнополюсные машины.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Магнитный поток, создаваемый током статора, наводит в  роторе ток, вследствие чего в машине возникает соответствующий магнитный поток </w:t>
      </w:r>
      <w:r w:rsidR="00F716B9"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ротора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 Взаимодействие указанных маг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нитных потоков приводит к создан электромагнитного вращающего момента. Наибольшую опасность для машины представляет знакопеременный вращащий момент, возникающий в первые периоды времени после включения возбужденной машины в сеть. Наибольшее значение этого момента равно: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2439" w:dyaOrig="840">
          <v:shape id="_x0000_i1033" type="#_x0000_t75" style="width:122pt;height:42pt" o:ole="">
            <v:imagedata r:id="rId27" o:title=""/>
          </v:shape>
          <o:OLEObject Type="Embed" ProgID="Equation.3" ShapeID="_x0000_i1033" DrawAspect="Content" ObjectID="_1569322922" r:id="rId28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е. оно тем меньше, чем больше противление сети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с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чем меньше разница между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”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t>dΣ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”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t>qΣ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тур</w:t>
      </w:r>
      <w:r w:rsidR="00F716B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боге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нераторы с массивным ротором и явнополюсные машины с демпферными обмотками по обеим осям на роторе подвергаются меньшему воздействию знакопеременных моментов вращения, </w:t>
      </w:r>
      <w:r w:rsidRPr="0063594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чем явнополюсные машины без демпфер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ных обмоток. В общем случае </w:t>
      </w:r>
      <w:r w:rsidRPr="0063594E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>Х</w:t>
      </w:r>
      <w:r w:rsidRPr="0063594E">
        <w:rPr>
          <w:rFonts w:ascii="Times New Roman" w:eastAsia="Times New Roman" w:hAnsi="Times New Roman" w:cs="Times New Roman"/>
          <w:iCs/>
          <w:spacing w:val="-3"/>
          <w:sz w:val="28"/>
          <w:szCs w:val="28"/>
          <w:vertAlign w:val="subscript"/>
          <w:lang w:eastAsia="ru-RU"/>
        </w:rPr>
        <w:t>с</w:t>
      </w:r>
      <w:r w:rsidRPr="0063594E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>≠0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, по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этому в момент включения невозбуж</w:t>
      </w:r>
      <w:r w:rsidR="00F716B9">
        <w:rPr>
          <w:rFonts w:ascii="Times New Roman" w:eastAsia="Times New Roman" w:hAnsi="Times New Roman" w:cs="Times New Roman"/>
          <w:sz w:val="28"/>
          <w:szCs w:val="28"/>
          <w:lang w:eastAsia="ru-RU"/>
        </w:rPr>
        <w:t>дё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нной синхронной машины в сеть она подвергается меньшему воздействию в</w:t>
      </w:r>
      <w:r w:rsidR="00F716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ращающих моментов, чем при трё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хфазном КЗ, в то время как в случае ошибочного включения возбужденной машины в сеть вращающие моменты могут в несколько раз превышать мо</w:t>
      </w:r>
      <w:r w:rsidR="00F716B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менты при трё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хфазном КЗ.</w:t>
      </w:r>
    </w:p>
    <w:p w:rsidR="0063594E" w:rsidRPr="0063594E" w:rsidRDefault="0063594E" w:rsidP="0063594E">
      <w:pPr>
        <w:shd w:val="clear" w:color="auto" w:fill="FFFFFF"/>
        <w:spacing w:before="5" w:after="0" w:line="240" w:lineRule="auto"/>
        <w:ind w:left="14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Моменты, возникающие в машине при самосинхронизации, с одной стороны воспринимаются конструктивными элементами, которые крепят активную сталь к корпусу и корпус статора к фундаменту, а с другой — передаются на вал первичного двигателя. Момент, воспринимаемый первичным двигателем, приближенно равен отношению его момента инерции к моменту инерции всего агрегата. Это отношение у гидрогенераторов меньше, чем у турбогенера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торов, и составляет 0,05 — 0,1.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4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установившемся асинхронном режиме при постоянном скольжении машины момент состоит из знакопеременных составляющих, изменяющихся с двойной частотой скольжения, и посто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янных составляющих. Знакопеременные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составляющие момента оказывают влияние на вхождение машины в синхронизм только при малых скольжениях (</w:t>
      </w:r>
      <w:r w:rsidRPr="006359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≤1,0 %), а при больших скольжениях работа, обусловленная этими составляющими, практически равна нулю. При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синхронной частоте вращения (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s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=0) эти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составляющие превращаются в реактив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ную составляющую вращающего момен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та, обусловленную явнополюсностью машины 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X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dΣ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≠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X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qΣ</w:t>
      </w:r>
      <w:r w:rsidRPr="006359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):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4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2700" w:dyaOrig="740">
          <v:shape id="_x0000_i1034" type="#_x0000_t75" style="width:135pt;height:37pt" o:ole="">
            <v:imagedata r:id="rId29" o:title=""/>
          </v:shape>
          <o:OLEObject Type="Embed" ProgID="Equation.3" ShapeID="_x0000_i1034" DrawAspect="Content" ObjectID="_1569322923" r:id="rId30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24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δ</w:t>
      </w:r>
      <w:r w:rsidRPr="0063594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фаза включения.</w:t>
      </w:r>
    </w:p>
    <w:p w:rsidR="0063594E" w:rsidRPr="0063594E" w:rsidRDefault="0063594E" w:rsidP="0063594E">
      <w:pPr>
        <w:shd w:val="clear" w:color="auto" w:fill="FFFFFF"/>
        <w:spacing w:before="185"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Постоянная составляющая момента определяет  средний  асинхронный  вращающий момент</w:t>
      </w:r>
    </w:p>
    <w:p w:rsidR="0063594E" w:rsidRPr="0063594E" w:rsidRDefault="0063594E" w:rsidP="0063594E">
      <w:pPr>
        <w:shd w:val="clear" w:color="auto" w:fill="FFFFFF"/>
        <w:spacing w:before="185"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3594E">
        <w:rPr>
          <w:rFonts w:ascii="Times New Roman" w:eastAsia="Times New Roman" w:hAnsi="Times New Roman" w:cs="Times New Roman"/>
          <w:position w:val="-40"/>
          <w:sz w:val="28"/>
          <w:szCs w:val="28"/>
          <w:lang w:eastAsia="ru-RU"/>
        </w:rPr>
        <w:object w:dxaOrig="7960" w:dyaOrig="920">
          <v:shape id="_x0000_i1035" type="#_x0000_t75" style="width:398pt;height:46pt" o:ole="">
            <v:imagedata r:id="rId31" o:title=""/>
          </v:shape>
          <o:OLEObject Type="Embed" ProgID="Equation.3" ShapeID="_x0000_i1035" DrawAspect="Content" ObjectID="_1569322924" r:id="rId32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before="185" w:after="0" w:line="240" w:lineRule="auto"/>
        <w:ind w:lef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который оказывает основное влияние на процесс вхождения генератора в синхронизм; при синхронной частоте вращения этот момент становится равным нулю. Чем больше средний асинхронный вращающий момент, тем легче машина, включаемая в сеть с некоторым скольжением, приближается к синхронной частоте вращения. Далее за счет реактивного момента и синхронного момента, обусловленного возбуждением, </w:t>
      </w:r>
    </w:p>
    <w:p w:rsidR="0063594E" w:rsidRPr="0063594E" w:rsidRDefault="0063594E" w:rsidP="0063594E">
      <w:pPr>
        <w:shd w:val="clear" w:color="auto" w:fill="FFFFFF"/>
        <w:spacing w:before="185"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3594E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880" w:dyaOrig="720">
          <v:shape id="_x0000_i1036" type="#_x0000_t75" style="width:94pt;height:36pt" o:ole="">
            <v:imagedata r:id="rId33" o:title=""/>
          </v:shape>
          <o:OLEObject Type="Embed" ProgID="Equation.3" ShapeID="_x0000_i1036" DrawAspect="Content" ObjectID="_1569322925" r:id="rId34"/>
        </w:objec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63594E" w:rsidRPr="0063594E" w:rsidRDefault="0063594E" w:rsidP="0063594E">
      <w:pPr>
        <w:shd w:val="clear" w:color="auto" w:fill="FFFFFF"/>
        <w:spacing w:before="185"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где δ — угол между векторами 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lang w:val="en-US" w:eastAsia="ru-RU"/>
        </w:rPr>
        <w:t>E</w:t>
      </w:r>
      <w:r w:rsidRPr="0063594E">
        <w:rPr>
          <w:rFonts w:ascii="Times New Roman" w:eastAsia="Times New Roman" w:hAnsi="Times New Roman" w:cs="Times New Roman"/>
          <w:i/>
          <w:iCs/>
          <w:spacing w:val="-3"/>
          <w:sz w:val="28"/>
          <w:szCs w:val="28"/>
          <w:vertAlign w:val="subscript"/>
          <w:lang w:val="en-US" w:eastAsia="ru-RU"/>
        </w:rPr>
        <w:t>q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и 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lang w:val="en-US" w:eastAsia="ru-RU"/>
        </w:rPr>
        <w:t>U</w:t>
      </w:r>
      <w:r w:rsidRPr="0063594E">
        <w:rPr>
          <w:rFonts w:ascii="Times New Roman" w:eastAsia="Times New Roman" w:hAnsi="Times New Roman" w:cs="Times New Roman"/>
          <w:i/>
          <w:spacing w:val="-3"/>
          <w:sz w:val="28"/>
          <w:szCs w:val="28"/>
          <w:vertAlign w:val="subscript"/>
          <w:lang w:eastAsia="ru-RU"/>
        </w:rPr>
        <w:t>с</w:t>
      </w:r>
      <w:r w:rsidRPr="0063594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, 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 втягивается в синхронизм.</w:t>
      </w:r>
    </w:p>
    <w:p w:rsidR="0063594E" w:rsidRPr="0063594E" w:rsidRDefault="0063594E" w:rsidP="0063594E">
      <w:pPr>
        <w:shd w:val="clear" w:color="auto" w:fill="FFFFFF"/>
        <w:spacing w:before="2"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Наибольший асинхронный момент воздействует на турбогенераторы, имеющие массивный ротор, а наимень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ший — на гидрогенераторы без демпфер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обмоток. Турбогенераторы даже при включении с большими скольжениями (15 — 20%) входят в синхронизм за 2 — 3 с.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Преимуществами метода самосинхронизации являются: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значительное упрощение операции включения, которое позволяет применить несложную систему автоматизации процесса;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быстрое включение машины в сеть, что особенно важно при аварии в системе; 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возможность включения машин во время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глубоких снижений напряжения и часто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 сети, имеющих место при авариях </w:t>
      </w:r>
      <w:r w:rsidRPr="0063594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 системе; отсутствие опасности повреж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машины.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Понижение напряжения, возникающее при вк</w:t>
      </w:r>
      <w:r w:rsidR="003B0737">
        <w:rPr>
          <w:rFonts w:ascii="Times New Roman" w:eastAsia="Times New Roman" w:hAnsi="Times New Roman" w:cs="Times New Roman"/>
          <w:sz w:val="28"/>
          <w:szCs w:val="28"/>
          <w:lang w:eastAsia="ru-RU"/>
        </w:rPr>
        <w:t>лючении невозбуждё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нной машины в сеть, может быть значительным, если мощность включаемой машины соизмерима с мощностью системы или превосходит ее. Тем не менее, этот факт не может служить препятствием для включения машин методом само синхронизации, так как напряжение быстро восстанавливается (примерно через 1—2 с).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для машин мощностью до 3000 кВт включительно самосинхронизация является основным способом включения на параллельную работу. Возможность использования этого способа для включения машин мощ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ностью более 3000 кВт ограничена допускаемым значением электродинамических сил в обмотке статора.</w:t>
      </w:r>
    </w:p>
    <w:p w:rsidR="0063594E" w:rsidRPr="0063594E" w:rsidRDefault="0063594E" w:rsidP="0063594E">
      <w:pPr>
        <w:shd w:val="clear" w:color="auto" w:fill="FFFFFF"/>
        <w:tabs>
          <w:tab w:val="left" w:pos="1855"/>
        </w:tabs>
        <w:spacing w:after="0" w:line="240" w:lineRule="auto"/>
        <w:ind w:lef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машин с косвенным охлаждением методом самосинхронизации рекомендуется в тех случаях, когда переходная составляющая тока статора в момент включения не превосходит 3,5-кратного значения номинального тока статора. Этому условию удовлетворяют практически все гидрогенераторы и турбогенераторы с косвенным охлаждением, работающие по схеме блока с повышающими трансформаторами.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методом самосинхронизации генераторов с непосредственным охлаждением обмоток допускается только в аварийных условиях. При работе нескольких генераторов на шины генераторного напряжения способ самосинхронизации не всегда применим; он допускается только в тех случаях, когда выполняется требование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п0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≤ 3,5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63594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594E" w:rsidRPr="0063594E" w:rsidRDefault="0063594E" w:rsidP="0063594E">
      <w:pPr>
        <w:shd w:val="clear" w:color="auto" w:fill="FFFFFF"/>
        <w:spacing w:after="0" w:line="240" w:lineRule="auto"/>
        <w:ind w:lef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94E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аварийных случаях методом самосинхронизации допускается включать все машины независимо от кратности тока включения и способа их охлаждения.</w:t>
      </w:r>
    </w:p>
    <w:p w:rsidR="00E77C7B" w:rsidRPr="00F716B9" w:rsidRDefault="00E77C7B" w:rsidP="007A1C0B">
      <w:pPr>
        <w:rPr>
          <w:rFonts w:ascii="Times New Roman" w:hAnsi="Times New Roman" w:cs="Times New Roman"/>
          <w:sz w:val="28"/>
          <w:szCs w:val="28"/>
        </w:rPr>
      </w:pPr>
    </w:p>
    <w:sectPr w:rsidR="00E77C7B" w:rsidRPr="00F716B9" w:rsidSect="00FB44CF">
      <w:footerReference w:type="default" r:id="rId35"/>
      <w:footerReference w:type="first" r:id="rId3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EF6" w:rsidRDefault="00984EF6" w:rsidP="00C86093">
      <w:pPr>
        <w:spacing w:after="0" w:line="240" w:lineRule="auto"/>
      </w:pPr>
      <w:r>
        <w:separator/>
      </w:r>
    </w:p>
  </w:endnote>
  <w:endnote w:type="continuationSeparator" w:id="1">
    <w:p w:rsidR="00984EF6" w:rsidRDefault="00984EF6" w:rsidP="00C86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72010665"/>
    </w:sdtPr>
    <w:sdtContent>
      <w:p w:rsidR="00C86093" w:rsidRDefault="00FE1EA7">
        <w:pPr>
          <w:pStyle w:val="a7"/>
          <w:jc w:val="right"/>
        </w:pPr>
        <w:r>
          <w:fldChar w:fldCharType="begin"/>
        </w:r>
        <w:r w:rsidR="00C86093">
          <w:instrText>PAGE   \* MERGEFORMAT</w:instrText>
        </w:r>
        <w:r>
          <w:fldChar w:fldCharType="separate"/>
        </w:r>
        <w:r w:rsidR="003053B5">
          <w:rPr>
            <w:noProof/>
          </w:rPr>
          <w:t>2</w:t>
        </w:r>
        <w:r>
          <w:fldChar w:fldCharType="end"/>
        </w:r>
      </w:p>
    </w:sdtContent>
  </w:sdt>
  <w:p w:rsidR="00C86093" w:rsidRDefault="00C8609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4CF" w:rsidRDefault="00FB44CF">
    <w:pPr>
      <w:pStyle w:val="a7"/>
      <w:jc w:val="right"/>
    </w:pPr>
  </w:p>
  <w:p w:rsidR="00FB44CF" w:rsidRDefault="00FB44C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EF6" w:rsidRDefault="00984EF6" w:rsidP="00C86093">
      <w:pPr>
        <w:spacing w:after="0" w:line="240" w:lineRule="auto"/>
      </w:pPr>
      <w:r>
        <w:separator/>
      </w:r>
    </w:p>
  </w:footnote>
  <w:footnote w:type="continuationSeparator" w:id="1">
    <w:p w:rsidR="00984EF6" w:rsidRDefault="00984EF6" w:rsidP="00C860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2201"/>
    <w:rsid w:val="00162201"/>
    <w:rsid w:val="003053B5"/>
    <w:rsid w:val="003B0737"/>
    <w:rsid w:val="004A5D63"/>
    <w:rsid w:val="0063594E"/>
    <w:rsid w:val="007A1C0B"/>
    <w:rsid w:val="008407A2"/>
    <w:rsid w:val="00984EF6"/>
    <w:rsid w:val="00AD09D8"/>
    <w:rsid w:val="00C86093"/>
    <w:rsid w:val="00E77C7B"/>
    <w:rsid w:val="00F716B9"/>
    <w:rsid w:val="00FB44CF"/>
    <w:rsid w:val="00FE1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0B"/>
  </w:style>
  <w:style w:type="paragraph" w:styleId="1">
    <w:name w:val="heading 1"/>
    <w:basedOn w:val="a"/>
    <w:next w:val="a"/>
    <w:link w:val="10"/>
    <w:uiPriority w:val="9"/>
    <w:qFormat/>
    <w:rsid w:val="00FB44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94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8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6093"/>
  </w:style>
  <w:style w:type="paragraph" w:styleId="a7">
    <w:name w:val="footer"/>
    <w:basedOn w:val="a"/>
    <w:link w:val="a8"/>
    <w:uiPriority w:val="99"/>
    <w:unhideWhenUsed/>
    <w:rsid w:val="00C8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6093"/>
  </w:style>
  <w:style w:type="character" w:customStyle="1" w:styleId="10">
    <w:name w:val="Заголовок 1 Знак"/>
    <w:basedOn w:val="a0"/>
    <w:link w:val="1"/>
    <w:uiPriority w:val="9"/>
    <w:rsid w:val="00FB44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FB44CF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FB44CF"/>
    <w:pPr>
      <w:spacing w:after="100"/>
    </w:pPr>
  </w:style>
  <w:style w:type="character" w:styleId="aa">
    <w:name w:val="Hyperlink"/>
    <w:basedOn w:val="a0"/>
    <w:uiPriority w:val="99"/>
    <w:unhideWhenUsed/>
    <w:rsid w:val="00FB44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0B"/>
  </w:style>
  <w:style w:type="paragraph" w:styleId="1">
    <w:name w:val="heading 1"/>
    <w:basedOn w:val="a"/>
    <w:next w:val="a"/>
    <w:link w:val="10"/>
    <w:uiPriority w:val="9"/>
    <w:qFormat/>
    <w:rsid w:val="00FB44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94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8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6093"/>
  </w:style>
  <w:style w:type="paragraph" w:styleId="a7">
    <w:name w:val="footer"/>
    <w:basedOn w:val="a"/>
    <w:link w:val="a8"/>
    <w:uiPriority w:val="99"/>
    <w:unhideWhenUsed/>
    <w:rsid w:val="00C8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6093"/>
  </w:style>
  <w:style w:type="character" w:customStyle="1" w:styleId="10">
    <w:name w:val="Заголовок 1 Знак"/>
    <w:basedOn w:val="a0"/>
    <w:link w:val="1"/>
    <w:uiPriority w:val="9"/>
    <w:rsid w:val="00FB44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FB44CF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FB44CF"/>
    <w:pPr>
      <w:spacing w:after="100"/>
    </w:pPr>
  </w:style>
  <w:style w:type="character" w:styleId="aa">
    <w:name w:val="Hyperlink"/>
    <w:basedOn w:val="a0"/>
    <w:uiPriority w:val="99"/>
    <w:unhideWhenUsed/>
    <w:rsid w:val="00FB44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2.bin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F1A54-90AE-43FF-BB90-2676CF88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3341</Words>
  <Characters>19046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2017-10-12T08:12:00Z</dcterms:created>
  <dcterms:modified xsi:type="dcterms:W3CDTF">2017-10-12T08:12:00Z</dcterms:modified>
</cp:coreProperties>
</file>